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87F" w:rsidRPr="00C34705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C34705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527D5" w:rsidRDefault="0089587F" w:rsidP="00A909D5">
      <w:pPr>
        <w:ind w:firstLine="3261"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протокол</w:t>
      </w:r>
      <w:r w:rsidR="00A909D5">
        <w:rPr>
          <w:rFonts w:ascii="Arial" w:hAnsi="Arial" w:cs="Arial"/>
          <w:sz w:val="22"/>
          <w:szCs w:val="22"/>
          <w:lang w:val="uk-UA"/>
        </w:rPr>
        <w:t xml:space="preserve"> засідання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від </w:t>
      </w:r>
      <w:r w:rsidR="004937D9">
        <w:rPr>
          <w:rFonts w:ascii="Arial" w:hAnsi="Arial" w:cs="Arial"/>
          <w:sz w:val="22"/>
          <w:szCs w:val="22"/>
          <w:lang w:val="uk-UA"/>
        </w:rPr>
        <w:t>09</w:t>
      </w:r>
      <w:r w:rsidR="006A4F53">
        <w:rPr>
          <w:rFonts w:ascii="Arial" w:hAnsi="Arial" w:cs="Arial"/>
          <w:sz w:val="22"/>
          <w:szCs w:val="22"/>
          <w:lang w:val="uk-UA"/>
        </w:rPr>
        <w:t xml:space="preserve"> </w:t>
      </w:r>
      <w:r w:rsidR="00F63D8B">
        <w:rPr>
          <w:rFonts w:ascii="Arial" w:hAnsi="Arial" w:cs="Arial"/>
          <w:sz w:val="22"/>
          <w:szCs w:val="22"/>
          <w:lang w:val="uk-UA"/>
        </w:rPr>
        <w:t>квітня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="006A4F53" w:rsidRPr="00C34705">
        <w:rPr>
          <w:rFonts w:ascii="Arial" w:hAnsi="Arial" w:cs="Arial"/>
          <w:sz w:val="22"/>
          <w:szCs w:val="22"/>
          <w:lang w:val="uk-UA"/>
        </w:rPr>
        <w:t>202</w:t>
      </w:r>
      <w:r w:rsidR="006A4F53">
        <w:rPr>
          <w:rFonts w:ascii="Arial" w:hAnsi="Arial" w:cs="Arial"/>
          <w:sz w:val="22"/>
          <w:szCs w:val="22"/>
          <w:lang w:val="uk-UA"/>
        </w:rPr>
        <w:t>5</w:t>
      </w:r>
      <w:r w:rsidR="006A4F53"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Pr="00C34705">
        <w:rPr>
          <w:rFonts w:ascii="Arial" w:hAnsi="Arial" w:cs="Arial"/>
          <w:sz w:val="22"/>
          <w:szCs w:val="22"/>
          <w:lang w:val="uk-UA"/>
        </w:rPr>
        <w:t>року</w:t>
      </w:r>
      <w:r w:rsidR="00E454DA" w:rsidRPr="00C527D5">
        <w:rPr>
          <w:rFonts w:ascii="Arial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630B54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Pr="00C53CD4" w:rsidRDefault="00510B1B" w:rsidP="00510B1B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АКЦІОНЕРНЕ ТОВАРИСТВО «</w:t>
            </w:r>
            <w:r w:rsidR="00630B54" w:rsidRPr="00630B54">
              <w:rPr>
                <w:rFonts w:ascii="Arial" w:hAnsi="Arial" w:cs="Arial"/>
                <w:b/>
                <w:lang w:val="uk-UA"/>
              </w:rPr>
              <w:t>ЧЕРНІГІВОБЛЕНЕРГО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»  </w:t>
            </w:r>
          </w:p>
          <w:p w:rsidR="005B0255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(ідентифікаці</w:t>
            </w:r>
            <w:r w:rsidR="00A909D5">
              <w:rPr>
                <w:rFonts w:ascii="Arial" w:hAnsi="Arial" w:cs="Arial"/>
                <w:b/>
                <w:lang w:val="uk-UA"/>
              </w:rPr>
              <w:t>й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ний код юридичної особи – код ЄДРПОУ </w:t>
            </w:r>
            <w:r w:rsidR="00630B54" w:rsidRPr="00630B54">
              <w:rPr>
                <w:rFonts w:ascii="Arial" w:hAnsi="Arial" w:cs="Arial"/>
                <w:b/>
                <w:lang w:val="uk-UA"/>
              </w:rPr>
              <w:t>22815333</w:t>
            </w:r>
            <w:r w:rsidRPr="00C53CD4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0551C1" w:rsidRDefault="000551C1" w:rsidP="000551C1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0551C1" w:rsidRPr="00C53CD4" w:rsidRDefault="000551C1" w:rsidP="000551C1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ДЛЯ ГОЛОСУВАННЯ</w:t>
            </w:r>
            <w:r w:rsidRPr="00B934C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B934C1">
              <w:rPr>
                <w:b/>
              </w:rPr>
              <w:t>(</w:t>
            </w:r>
            <w:r w:rsidRPr="00901799">
              <w:rPr>
                <w:rFonts w:ascii="Arial" w:hAnsi="Arial" w:cs="Arial"/>
                <w:b/>
                <w:lang w:val="uk-UA"/>
              </w:rPr>
              <w:t>щодо інших питань порядку денного, крім обрання органів товариства)</w:t>
            </w:r>
          </w:p>
          <w:p w:rsidR="00E454DA" w:rsidRPr="00C34705" w:rsidRDefault="000551C1" w:rsidP="000551C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на </w:t>
            </w:r>
            <w:r>
              <w:rPr>
                <w:rFonts w:ascii="Arial" w:hAnsi="Arial" w:cs="Arial"/>
                <w:b/>
                <w:lang w:val="uk-UA"/>
              </w:rPr>
              <w:t>річних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загальних зборах, які проводяться дистанційно </w:t>
            </w:r>
            <w:r w:rsidRPr="00C53CD4">
              <w:rPr>
                <w:rFonts w:ascii="Arial" w:hAnsi="Arial" w:cs="Arial"/>
                <w:b/>
                <w:lang w:val="uk-UA"/>
              </w:rPr>
              <w:br/>
            </w:r>
            <w:r w:rsidR="009F6D9B">
              <w:rPr>
                <w:rFonts w:ascii="Arial" w:hAnsi="Arial" w:cs="Arial"/>
                <w:b/>
                <w:lang w:val="uk-UA"/>
              </w:rPr>
              <w:t xml:space="preserve">25 </w:t>
            </w:r>
            <w:r>
              <w:rPr>
                <w:rFonts w:ascii="Arial" w:hAnsi="Arial" w:cs="Arial"/>
                <w:b/>
                <w:lang w:val="uk-UA"/>
              </w:rPr>
              <w:t>квітня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F6D9B" w:rsidRPr="00C53CD4">
              <w:rPr>
                <w:rFonts w:ascii="Arial" w:hAnsi="Arial" w:cs="Arial"/>
                <w:b/>
                <w:lang w:val="uk-UA"/>
              </w:rPr>
              <w:t>20</w:t>
            </w:r>
            <w:r w:rsidR="009F6D9B">
              <w:rPr>
                <w:rFonts w:ascii="Arial" w:hAnsi="Arial" w:cs="Arial"/>
                <w:b/>
                <w:lang w:val="uk-UA"/>
              </w:rPr>
              <w:t>25</w:t>
            </w:r>
            <w:r w:rsidR="009F6D9B" w:rsidRPr="00C53CD4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C53CD4">
              <w:rPr>
                <w:rFonts w:ascii="Arial" w:hAnsi="Arial" w:cs="Arial"/>
                <w:b/>
                <w:lang w:val="uk-UA"/>
              </w:rPr>
              <w:t>року</w:t>
            </w:r>
          </w:p>
          <w:p w:rsidR="00E454DA" w:rsidRPr="00C34705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901799" w:rsidRPr="00FA2195" w:rsidRDefault="00520D54" w:rsidP="009017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Дат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901799"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і час початку та завершення голосування:</w:t>
            </w:r>
          </w:p>
          <w:p w:rsidR="00901799" w:rsidRPr="00901799" w:rsidRDefault="006A4F53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63D8B">
              <w:rPr>
                <w:rFonts w:ascii="Arial" w:hAnsi="Arial" w:cs="Arial"/>
                <w:sz w:val="22"/>
                <w:szCs w:val="22"/>
                <w:lang w:val="uk-UA"/>
              </w:rPr>
              <w:t>квітня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202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року - дата розміщення єдиного бюлетеня для голосування (щодо інших питань порядку денного, крім питань обрання органів товариства). 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 відповідних питань порядку денного розпочинається з моменту розміщення на веб-сайті Товариства </w:t>
            </w:r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за адресою: </w:t>
            </w:r>
            <w:r w:rsidR="006A4F53" w:rsidRPr="006D6509">
              <w:rPr>
                <w:rFonts w:ascii="Arial" w:hAnsi="Arial" w:cs="Arial"/>
                <w:sz w:val="22"/>
                <w:szCs w:val="22"/>
                <w:lang w:val="uk-UA"/>
              </w:rPr>
              <w:t>https://chernihivoblenergo.com.ua/shareholders/meeting_protocols_2025</w:t>
            </w:r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вказаним у даному повідомленні посиланням.</w:t>
            </w:r>
          </w:p>
          <w:p w:rsidR="00E454DA" w:rsidRPr="00901799" w:rsidRDefault="00901799" w:rsidP="0090179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завершується о 18.00 годині </w:t>
            </w:r>
            <w:r w:rsidR="006A4F53">
              <w:rPr>
                <w:rFonts w:ascii="Arial" w:hAnsi="Arial" w:cs="Arial"/>
                <w:sz w:val="22"/>
                <w:szCs w:val="22"/>
                <w:lang w:val="uk-UA"/>
              </w:rPr>
              <w:t xml:space="preserve">25 </w:t>
            </w:r>
            <w:r w:rsidR="00F63D8B">
              <w:rPr>
                <w:rFonts w:ascii="Arial" w:hAnsi="Arial" w:cs="Arial"/>
                <w:sz w:val="22"/>
                <w:szCs w:val="22"/>
                <w:lang w:val="uk-UA"/>
              </w:rPr>
              <w:t>квітн</w:t>
            </w:r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>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6A4F53" w:rsidRPr="00901799">
              <w:rPr>
                <w:rFonts w:ascii="Arial" w:hAnsi="Arial" w:cs="Arial"/>
                <w:sz w:val="22"/>
                <w:szCs w:val="22"/>
                <w:lang w:val="uk-UA"/>
              </w:rPr>
              <w:t>202</w:t>
            </w:r>
            <w:r w:rsidR="006A4F53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 w:rsidR="006A4F53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року. Дата і час завершення голосування є датою і часом закінчення надсилання до депозитарної установи бюлетенів для голосування</w:t>
            </w:r>
          </w:p>
          <w:p w:rsidR="00E454DA" w:rsidRPr="00C34705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FF1113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="00FF1113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F63D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  <w:r w:rsidR="006A4F5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5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</w:t>
            </w:r>
            <w:r w:rsidR="00901799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ня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="006A4F53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202</w:t>
            </w:r>
            <w:r w:rsidR="006A4F5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5 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3470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FA2195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r w:rsidRPr="00FA2195">
        <w:rPr>
          <w:rFonts w:ascii="Arial" w:hAnsi="Arial" w:cs="Arial"/>
          <w:b/>
          <w:i/>
          <w:sz w:val="20"/>
          <w:szCs w:val="20"/>
        </w:rPr>
        <w:t>Примітка:</w:t>
      </w:r>
      <w:r w:rsidRPr="00FA2195">
        <w:rPr>
          <w:rFonts w:ascii="Arial" w:hAnsi="Arial" w:cs="Arial"/>
          <w:i/>
          <w:sz w:val="20"/>
          <w:szCs w:val="20"/>
        </w:rPr>
        <w:t xml:space="preserve"> інформація та реквізити в даній таблиці зазначається (вноситься/вписується) акціонером (представником акціонера) самостійно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Реквізити представника акціонера (за наявності):  </w:t>
            </w:r>
          </w:p>
        </w:tc>
      </w:tr>
      <w:tr w:rsidR="00B12EB3" w:rsidRPr="00C3470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34705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r w:rsidRPr="00FA2195">
        <w:rPr>
          <w:rFonts w:ascii="Arial" w:hAnsi="Arial" w:cs="Arial"/>
          <w:b/>
          <w:i/>
          <w:sz w:val="20"/>
          <w:szCs w:val="20"/>
        </w:rPr>
        <w:t>Примітка:</w:t>
      </w:r>
      <w:r w:rsidRPr="00FA2195">
        <w:rPr>
          <w:rFonts w:ascii="Arial" w:hAnsi="Arial" w:cs="Arial"/>
          <w:i/>
          <w:sz w:val="20"/>
          <w:szCs w:val="20"/>
        </w:rPr>
        <w:t xml:space="preserve"> інформація та реквізити в даній таблиці зазначається (вноситься/вписується) акціонером (представником акціонера) самостійно</w:t>
      </w:r>
    </w:p>
    <w:p w:rsidR="00FA2195" w:rsidRDefault="00FA2195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0DD4" w:rsidRPr="00190DD4" w:rsidTr="006A327A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190DD4" w:rsidRPr="00190DD4" w:rsidRDefault="00190DD4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0DD4">
              <w:rPr>
                <w:rFonts w:ascii="Arial" w:hAnsi="Arial" w:cs="Arial"/>
              </w:rPr>
              <w:br w:type="page"/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90DD4">
              <w:rPr>
                <w:rFonts w:ascii="Arial" w:hAnsi="Arial" w:cs="Arial"/>
                <w:i/>
              </w:rPr>
              <w:br w:type="page"/>
            </w:r>
            <w:r w:rsidRPr="00190DD4">
              <w:rPr>
                <w:rFonts w:ascii="Arial" w:eastAsia="Calibri" w:hAnsi="Arial" w:cs="Arial"/>
                <w:b/>
                <w:bCs/>
                <w:i/>
                <w:iCs/>
              </w:rPr>
              <w:t>ЗАСТЕРЕЖЕННЯ:</w:t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3. Бюлетень, визнається недійсним для голосування у разі, якщо: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1) форма та/або текст бюлетеня відрізняється від зразка, який розміщений Товариством;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2) на ньому відсутній підпис (підписи) акціонера (представника акціонера);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90DD4" w:rsidRPr="00627E70" w:rsidRDefault="00190DD4" w:rsidP="00190DD4">
      <w:pPr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Бюлетень може бути заповнений машинодруком.</w:t>
      </w:r>
    </w:p>
    <w:p w:rsidR="00627E70" w:rsidRDefault="00627E70" w:rsidP="00627E70">
      <w:pPr>
        <w:ind w:right="282"/>
        <w:jc w:val="both"/>
        <w:rPr>
          <w:rFonts w:ascii="Arial" w:hAnsi="Arial" w:cs="Arial"/>
          <w:i/>
        </w:rPr>
      </w:pPr>
    </w:p>
    <w:p w:rsidR="00415E8E" w:rsidRPr="00627E70" w:rsidRDefault="00415E8E" w:rsidP="00627E70">
      <w:pPr>
        <w:ind w:right="282"/>
        <w:jc w:val="both"/>
        <w:rPr>
          <w:rFonts w:ascii="Arial" w:hAnsi="Arial" w:cs="Arial"/>
          <w:i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E70" w:rsidRPr="00627E70" w:rsidTr="006A327A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627E70" w:rsidRPr="00627E70" w:rsidRDefault="00627E70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7E70">
              <w:rPr>
                <w:rFonts w:ascii="Arial" w:hAnsi="Arial" w:cs="Arial"/>
              </w:rPr>
              <w:br w:type="page"/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ГОЛОСУВАННЯ З ПИТАНЬ ПОРЯДКУ ДЕННОГО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ЗАГАЛЬНИХ ЗБОРІВ: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627E70" w:rsidRDefault="00627E70" w:rsidP="00627E70">
      <w:pPr>
        <w:jc w:val="both"/>
        <w:rPr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627E70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0551C1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0551C1" w:rsidRDefault="00CF31D4" w:rsidP="000551C1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0551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1. </w:t>
            </w:r>
            <w:r w:rsidR="006A4F53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Розгляд звіту Правління АТ «ЧЕРНІГІВОБЛЕНЕРГО» про результати фінансово-господарської діяльності </w:t>
            </w:r>
            <w:r w:rsidR="006A4F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br/>
            </w:r>
            <w:r w:rsidR="006A4F53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АТ «ЧЕРНІГІВОБЛЕНЕРГО» у 2024 році та прийняття рішення за результатами розгляду такого звіту</w:t>
            </w:r>
            <w:r w:rsidRPr="000551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</w:tc>
      </w:tr>
      <w:tr w:rsidR="00CF31D4" w:rsidRPr="000551C1" w:rsidTr="00510B1B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CF31D4" w:rsidRPr="00283D89" w:rsidRDefault="00CF31D4" w:rsidP="000551C1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F6" w:rsidRPr="006D6509" w:rsidRDefault="00DB44F6" w:rsidP="006D6509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1.1. Роботу Правління АТ «ЧЕРНІГІВОБЛЕНЕРГО» у 2024 році визнати задовільною та такою, що відповідає меті та напрямкам діяльності АТ «ЧЕРНІГІВОБЛЕНЕРГО» і положенням його установчих документів.</w:t>
            </w:r>
          </w:p>
          <w:p w:rsidR="00D76D8E" w:rsidRPr="00F63D8B" w:rsidRDefault="00DB44F6">
            <w:pPr>
              <w:tabs>
                <w:tab w:val="left" w:pos="840"/>
              </w:tabs>
              <w:ind w:right="-6"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1.2. Затвердити звіт Правління АТ «ЧЕРНІГІВОБЛЕНЕРГО» про результати фінансово-господарської діяльності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у 2024 році</w:t>
            </w:r>
            <w:r w:rsidR="00F209F4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.</w:t>
            </w:r>
          </w:p>
        </w:tc>
      </w:tr>
      <w:tr w:rsidR="00CC1424" w:rsidRPr="00C53CD4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27E70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</w:t>
            </w:r>
            <w:bookmarkStart w:id="0" w:name="_GoBack"/>
            <w:bookmarkEnd w:id="0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CC1424" w:rsidRPr="00627E70" w:rsidRDefault="00CC1424" w:rsidP="00CC142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C53CD4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0551C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 w:rsidR="000551C1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2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0551C1" w:rsidRDefault="000551C1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="00CF31D4" w:rsidRPr="000551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. </w:t>
            </w:r>
            <w:r w:rsidR="00DB44F6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Розгляд звіту Наглядової ради </w:t>
            </w:r>
            <w:r w:rsidR="00DB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br/>
            </w:r>
            <w:r w:rsidR="00DB44F6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АТ «ЧЕРНІГІВОБЛЕНЕРГО» про роботу у 2024 році та прийняття рішення за результатами розгляду такого звіту</w:t>
            </w:r>
            <w:r w:rsidR="00CF31D4" w:rsidRPr="000551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CF31D4" w:rsidRPr="000551C1" w:rsidRDefault="00CF31D4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CF31D4" w:rsidRPr="00630B54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0551C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0551C1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2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F6" w:rsidRPr="006D6509" w:rsidRDefault="00DB44F6" w:rsidP="006D6509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2.1. Роботу Наглядової ради АТ «ЧЕРНІГІВОБЛЕНЕРГО» у 2024 році визнати задовільною та такою, що відповідає меті та напрямкам діяльності АТ «ЧЕРНІГІВОБЛЕНЕРГО» і положенням його установчих документів.</w:t>
            </w:r>
          </w:p>
          <w:p w:rsidR="00D76D8E" w:rsidRPr="00F63D8B" w:rsidRDefault="00DB44F6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2.2. Затвердити звіт Наглядової ради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про роботу у 2024 році</w:t>
            </w:r>
            <w:r w:rsidR="00915780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.</w:t>
            </w:r>
            <w:r w:rsidR="00510B1B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 </w:t>
            </w:r>
          </w:p>
        </w:tc>
      </w:tr>
      <w:tr w:rsidR="00CC1424" w:rsidRPr="00C53CD4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CC1424" w:rsidRPr="00627E70" w:rsidRDefault="00627E70" w:rsidP="00D509E8">
            <w:pPr>
              <w:jc w:val="both"/>
              <w:rPr>
                <w:color w:val="000000"/>
                <w:sz w:val="20"/>
                <w:szCs w:val="20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</w:tc>
      </w:tr>
    </w:tbl>
    <w:p w:rsidR="00CF31D4" w:rsidRPr="00627E70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C53CD4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80" w:rsidRPr="006D6509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3. </w:t>
            </w:r>
            <w:r w:rsidR="00DB44F6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Розгляд висновків аудиторського звіту суб’єкта аудиторської діяльності за 2024 рік та затвердження заходів за результатами розгляду такого звіту</w:t>
            </w:r>
            <w:r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915780" w:rsidRPr="006D6509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915780" w:rsidRPr="004937D9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F6" w:rsidRPr="006D6509" w:rsidRDefault="00DB44F6" w:rsidP="006D6509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3.1. Прийняти до відома висновки аудиторського звіту суб’єкта аудиторської діяльності ТОВАРИСТВА З ОБМЕЖЕНОЮ ВІДПОВІДАЛЬНІСТЮ «СТАНДАРТ-АУДИТ» (код ЄДРПОУ 23980886) за 2024 рік.</w:t>
            </w:r>
          </w:p>
          <w:p w:rsidR="00915780" w:rsidRPr="00F63D8B" w:rsidRDefault="00DB44F6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lastRenderedPageBreak/>
              <w:t>3.2. Доручити Правлінню АТ «ЧЕРНІГІВОБЛЕНЕРГО» врахувати у своїй подальшій роботі висновки аудиторського звіту суб’єкта аудиторської діяльності ТОВАРИСТВА З ОБМЕЖЕНОЮ ВІДПОВІДАЛЬНІСТЮ «СТАНДАРТ-АУДИТ» (код ЄДРПОУ 23980886) за 2024 рік</w:t>
            </w:r>
            <w:r w:rsidR="00915780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.</w:t>
            </w:r>
          </w:p>
        </w:tc>
      </w:tr>
      <w:tr w:rsidR="00915780" w:rsidRPr="00C53CD4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915780" w:rsidRPr="00627E70" w:rsidRDefault="00915780" w:rsidP="000A605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209F4" w:rsidRDefault="00F209F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630B54" w:rsidRPr="00C53CD4" w:rsidTr="00E336F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B54" w:rsidRPr="00C53CD4" w:rsidRDefault="00630B54" w:rsidP="00630B5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54" w:rsidRPr="00F63D8B" w:rsidRDefault="00630B54" w:rsidP="00E336FB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DB44F6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 річної фінансової звітності (річного звіту) АТ «ЧЕРНІГІВОБЛЕНЕРГО» за 2024 рік</w:t>
            </w: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630B54" w:rsidRPr="00CC1424" w:rsidRDefault="00630B54" w:rsidP="00E336FB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0B54" w:rsidRPr="006A4F53" w:rsidTr="00E336F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B54" w:rsidRPr="00C53CD4" w:rsidRDefault="00630B54" w:rsidP="00441F8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441F8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54" w:rsidRPr="00F63D8B" w:rsidRDefault="00267C2B" w:rsidP="00F63D8B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4.1. Затвердити річну фінансову звітність (річний звіт та баланс) АТ «ЧЕРНІГІВОБЛЕНЕРГО» за 2024 рік</w:t>
            </w:r>
            <w:r w:rsidR="00630B54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. </w:t>
            </w:r>
          </w:p>
        </w:tc>
      </w:tr>
      <w:tr w:rsidR="00630B54" w:rsidRPr="00C53CD4" w:rsidTr="00E336F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B54" w:rsidRPr="00C53CD4" w:rsidRDefault="00630B54" w:rsidP="00E336FB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B54" w:rsidRPr="00141D4B" w:rsidRDefault="00630B54" w:rsidP="00E336FB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30B54" w:rsidRPr="00141D4B" w:rsidTr="00E336FB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30B54" w:rsidRPr="00141D4B" w:rsidRDefault="00630B54" w:rsidP="00E336FB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30B54" w:rsidRPr="00141D4B" w:rsidRDefault="00630B54" w:rsidP="00E336FB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30B54" w:rsidRPr="00141D4B" w:rsidRDefault="00630B54" w:rsidP="00E336FB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30B54" w:rsidRPr="00141D4B" w:rsidRDefault="00630B54" w:rsidP="00E336FB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30B54" w:rsidRPr="00141D4B" w:rsidRDefault="00630B54" w:rsidP="00E336FB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30B54" w:rsidRPr="00141D4B" w:rsidRDefault="00630B54" w:rsidP="00E336FB">
            <w:pPr>
              <w:jc w:val="both"/>
              <w:rPr>
                <w:b/>
                <w:i/>
              </w:rPr>
            </w:pPr>
          </w:p>
          <w:p w:rsidR="00630B54" w:rsidRPr="00627E70" w:rsidRDefault="00630B54" w:rsidP="00E336FB">
            <w:pPr>
              <w:jc w:val="both"/>
              <w:rPr>
                <w:color w:val="000000"/>
                <w:sz w:val="20"/>
                <w:szCs w:val="20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</w:tc>
      </w:tr>
    </w:tbl>
    <w:p w:rsidR="00630B54" w:rsidRDefault="00630B5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63D8B" w:rsidRPr="00C53CD4" w:rsidTr="00AC76D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F63D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8B" w:rsidRPr="00F63D8B" w:rsidRDefault="00F63D8B" w:rsidP="00AC76D8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CE0A5C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Затвердження результатів фінансово-господарської діяльності АТ «ЧЕРНІГІВОБЛЕНЕРГО» за 2024 рік та розподіл прибутку АТ «ЧЕРНІГІВОБЛЕНЕРГО» за 2024 рік (затвердження порядку покриття збитків </w:t>
            </w:r>
            <w:r w:rsidR="00CE0A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 w:rsidR="00CE0A5C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АТ «ЧЕРНІГІВОБЛЕНЕРГО» за 2024 рік)</w:t>
            </w: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63D8B" w:rsidRPr="00CC1424" w:rsidRDefault="00F63D8B" w:rsidP="00AC76D8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63D8B" w:rsidRPr="004937D9" w:rsidTr="00AC76D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F63D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8B" w:rsidRDefault="00F63D8B" w:rsidP="00AC76D8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</w:p>
          <w:p w:rsidR="00CE0A5C" w:rsidRPr="006D6509" w:rsidRDefault="00CE0A5C" w:rsidP="00CE0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   </w:t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5.1. Затвердити чистий прибуток у розмірі 169 748 909,13 грн. (сто шістдесят дев’ять мільйонів сімсот сорок вісім тисяч дев’ятсот дев’ять гривень 13 копійок), отриманий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у 2024 році.</w:t>
            </w:r>
          </w:p>
          <w:p w:rsidR="00F63D8B" w:rsidRDefault="00CE0A5C" w:rsidP="00CE0A5C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5.2. Чистий прибуток у розмірі 169 748 909,13 грн. (сто шістдесят дев’ять мільйонів сімсот сорок вісім тисяч дев’ятсот дев’ять гривень 13 копійок), отриманий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у 2024 році, залишити нерозподіленим</w:t>
            </w:r>
            <w:r w:rsidR="00F63D8B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. </w:t>
            </w:r>
          </w:p>
          <w:p w:rsidR="00F63D8B" w:rsidRPr="00F63D8B" w:rsidRDefault="00F63D8B" w:rsidP="00AC76D8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</w:p>
        </w:tc>
      </w:tr>
      <w:tr w:rsidR="00F63D8B" w:rsidRPr="00C53CD4" w:rsidTr="00AC76D8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AC76D8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8B" w:rsidRPr="00141D4B" w:rsidRDefault="00F63D8B" w:rsidP="00AC76D8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63D8B" w:rsidRPr="00141D4B" w:rsidTr="00AC76D8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63D8B" w:rsidRPr="00141D4B" w:rsidRDefault="00F63D8B" w:rsidP="00AC76D8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63D8B" w:rsidRPr="00141D4B" w:rsidRDefault="00F63D8B" w:rsidP="00AC76D8">
            <w:pPr>
              <w:jc w:val="both"/>
              <w:rPr>
                <w:b/>
                <w:i/>
              </w:rPr>
            </w:pPr>
          </w:p>
          <w:p w:rsidR="00F63D8B" w:rsidRPr="00627E70" w:rsidRDefault="00F63D8B" w:rsidP="00AC76D8">
            <w:pPr>
              <w:jc w:val="both"/>
              <w:rPr>
                <w:color w:val="000000"/>
                <w:sz w:val="20"/>
                <w:szCs w:val="20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</w:tc>
      </w:tr>
    </w:tbl>
    <w:p w:rsidR="00F63D8B" w:rsidRPr="00630B54" w:rsidRDefault="00F63D8B" w:rsidP="00F63D8B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63D8B" w:rsidRPr="00C53CD4" w:rsidTr="00AC76D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F63D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8B" w:rsidRPr="00F63D8B" w:rsidRDefault="00F63D8B" w:rsidP="00AC76D8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CE0A5C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Про внесення змін до організаційної структури </w:t>
            </w:r>
            <w:r w:rsidR="00CE0A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 w:rsidR="00CE0A5C" w:rsidRPr="006D65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АТ «ЧЕРНІГІВОБЛЕНЕРГО»</w:t>
            </w:r>
            <w:r w:rsidRPr="00F63D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63D8B" w:rsidRPr="00CC1424" w:rsidRDefault="00F63D8B" w:rsidP="00AC76D8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63D8B" w:rsidRPr="006A4F53" w:rsidTr="00AC76D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F63D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C" w:rsidRPr="006D6509" w:rsidRDefault="00CE0A5C" w:rsidP="006D6509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6.1. Внести зміни до організаційної структури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шляхом викладення її в новій редакції.</w:t>
            </w:r>
          </w:p>
          <w:p w:rsidR="00F63D8B" w:rsidRPr="00F63D8B" w:rsidRDefault="00CE0A5C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</w:pP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6.2. Затвердити організаційну структуру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br/>
            </w:r>
            <w:r w:rsidRPr="006D6509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>АТ «ЧЕРНІГІВОБЛЕНЕРГО» в новій редакції</w:t>
            </w:r>
            <w:r w:rsidR="00F63D8B" w:rsidRPr="00F63D8B">
              <w:rPr>
                <w:rFonts w:ascii="Arial" w:hAnsi="Arial" w:cs="Arial"/>
                <w:bCs/>
                <w:sz w:val="22"/>
                <w:szCs w:val="22"/>
                <w:lang w:val="uk-UA" w:eastAsia="ru-RU"/>
              </w:rPr>
              <w:t xml:space="preserve">. </w:t>
            </w:r>
          </w:p>
        </w:tc>
      </w:tr>
      <w:tr w:rsidR="00F63D8B" w:rsidRPr="00C53CD4" w:rsidTr="00AC76D8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8B" w:rsidRPr="00C53CD4" w:rsidRDefault="00F63D8B" w:rsidP="00AC76D8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8B" w:rsidRPr="00141D4B" w:rsidRDefault="00F63D8B" w:rsidP="00AC76D8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63D8B" w:rsidRPr="00141D4B" w:rsidTr="00AC76D8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63D8B" w:rsidRPr="00141D4B" w:rsidRDefault="00F63D8B" w:rsidP="00AC76D8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63D8B" w:rsidRPr="00141D4B" w:rsidRDefault="00F63D8B" w:rsidP="00AC76D8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63D8B" w:rsidRPr="00141D4B" w:rsidRDefault="00F63D8B" w:rsidP="00AC76D8">
            <w:pPr>
              <w:jc w:val="both"/>
              <w:rPr>
                <w:b/>
                <w:i/>
              </w:rPr>
            </w:pPr>
          </w:p>
          <w:p w:rsidR="00F63D8B" w:rsidRPr="00627E70" w:rsidRDefault="00F63D8B" w:rsidP="00AC76D8">
            <w:pPr>
              <w:jc w:val="both"/>
              <w:rPr>
                <w:color w:val="000000"/>
                <w:sz w:val="20"/>
                <w:szCs w:val="20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</w:tc>
      </w:tr>
    </w:tbl>
    <w:p w:rsidR="00F63D8B" w:rsidRPr="00630B54" w:rsidRDefault="00F63D8B" w:rsidP="00F63D8B">
      <w:pPr>
        <w:rPr>
          <w:rFonts w:ascii="Arial" w:hAnsi="Arial" w:cs="Arial"/>
          <w:sz w:val="22"/>
          <w:szCs w:val="22"/>
        </w:rPr>
      </w:pPr>
    </w:p>
    <w:p w:rsidR="005433F7" w:rsidRPr="00630B54" w:rsidRDefault="005433F7" w:rsidP="00627E70">
      <w:pPr>
        <w:rPr>
          <w:rFonts w:ascii="Arial" w:hAnsi="Arial" w:cs="Arial"/>
          <w:sz w:val="22"/>
          <w:szCs w:val="22"/>
        </w:rPr>
      </w:pPr>
    </w:p>
    <w:sectPr w:rsidR="005433F7" w:rsidRPr="00630B54" w:rsidSect="00190DD4">
      <w:footerReference w:type="default" r:id="rId8"/>
      <w:pgSz w:w="11906" w:h="16838" w:code="9"/>
      <w:pgMar w:top="425" w:right="567" w:bottom="1135" w:left="1418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03" w:rsidRDefault="00286D03">
      <w:r>
        <w:separator/>
      </w:r>
    </w:p>
  </w:endnote>
  <w:endnote w:type="continuationSeparator" w:id="0">
    <w:p w:rsidR="00286D03" w:rsidRDefault="0028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e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434A78">
            <w:rPr>
              <w:rFonts w:eastAsia="Times New Roman"/>
              <w:noProof/>
              <w:sz w:val="20"/>
              <w:szCs w:val="22"/>
            </w:rPr>
            <w:t>5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e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e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e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e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e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e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03" w:rsidRDefault="00286D03">
      <w:r>
        <w:separator/>
      </w:r>
    </w:p>
  </w:footnote>
  <w:footnote w:type="continuationSeparator" w:id="0">
    <w:p w:rsidR="00286D03" w:rsidRDefault="0028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 w15:restartNumberingAfterBreak="0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 w15:restartNumberingAfterBreak="0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551C1"/>
    <w:rsid w:val="000960AF"/>
    <w:rsid w:val="000C1162"/>
    <w:rsid w:val="000C4D7F"/>
    <w:rsid w:val="000E098B"/>
    <w:rsid w:val="00190DD4"/>
    <w:rsid w:val="00192692"/>
    <w:rsid w:val="00195656"/>
    <w:rsid w:val="001C4F13"/>
    <w:rsid w:val="00214AF1"/>
    <w:rsid w:val="00233888"/>
    <w:rsid w:val="00236022"/>
    <w:rsid w:val="00267C2B"/>
    <w:rsid w:val="002748D8"/>
    <w:rsid w:val="00283D89"/>
    <w:rsid w:val="00286D03"/>
    <w:rsid w:val="002941EB"/>
    <w:rsid w:val="0029578C"/>
    <w:rsid w:val="002C77CC"/>
    <w:rsid w:val="00340DFB"/>
    <w:rsid w:val="0039347E"/>
    <w:rsid w:val="00396DF8"/>
    <w:rsid w:val="003F3DAE"/>
    <w:rsid w:val="00415E8E"/>
    <w:rsid w:val="00434A78"/>
    <w:rsid w:val="00441F84"/>
    <w:rsid w:val="00461665"/>
    <w:rsid w:val="004741DC"/>
    <w:rsid w:val="004937D9"/>
    <w:rsid w:val="004C5418"/>
    <w:rsid w:val="00506431"/>
    <w:rsid w:val="00510B1B"/>
    <w:rsid w:val="00520D54"/>
    <w:rsid w:val="005433F7"/>
    <w:rsid w:val="00546422"/>
    <w:rsid w:val="005646A9"/>
    <w:rsid w:val="00575C8D"/>
    <w:rsid w:val="00586142"/>
    <w:rsid w:val="00593B16"/>
    <w:rsid w:val="005A63D5"/>
    <w:rsid w:val="005A7A63"/>
    <w:rsid w:val="005B0255"/>
    <w:rsid w:val="005E1448"/>
    <w:rsid w:val="005F3FD2"/>
    <w:rsid w:val="00627E70"/>
    <w:rsid w:val="00630B54"/>
    <w:rsid w:val="00654056"/>
    <w:rsid w:val="006A4F53"/>
    <w:rsid w:val="006B1B9C"/>
    <w:rsid w:val="006D6509"/>
    <w:rsid w:val="00716747"/>
    <w:rsid w:val="007E041A"/>
    <w:rsid w:val="00832C94"/>
    <w:rsid w:val="0089587F"/>
    <w:rsid w:val="008A21DF"/>
    <w:rsid w:val="008B5B4E"/>
    <w:rsid w:val="008B78FB"/>
    <w:rsid w:val="008F65E2"/>
    <w:rsid w:val="00901799"/>
    <w:rsid w:val="00905D2E"/>
    <w:rsid w:val="00915780"/>
    <w:rsid w:val="00942FA0"/>
    <w:rsid w:val="00945DEB"/>
    <w:rsid w:val="00983F05"/>
    <w:rsid w:val="009E1B01"/>
    <w:rsid w:val="009F6D9B"/>
    <w:rsid w:val="009F7C2F"/>
    <w:rsid w:val="00A13416"/>
    <w:rsid w:val="00A669EA"/>
    <w:rsid w:val="00A909D5"/>
    <w:rsid w:val="00AA6C4B"/>
    <w:rsid w:val="00AC74A9"/>
    <w:rsid w:val="00B12EB3"/>
    <w:rsid w:val="00B1677F"/>
    <w:rsid w:val="00B31F0D"/>
    <w:rsid w:val="00B46399"/>
    <w:rsid w:val="00B62FD0"/>
    <w:rsid w:val="00B741CA"/>
    <w:rsid w:val="00BC3EEA"/>
    <w:rsid w:val="00BD0D6A"/>
    <w:rsid w:val="00BD2088"/>
    <w:rsid w:val="00BF40E8"/>
    <w:rsid w:val="00C1692B"/>
    <w:rsid w:val="00C31055"/>
    <w:rsid w:val="00C34705"/>
    <w:rsid w:val="00C365FF"/>
    <w:rsid w:val="00C4142E"/>
    <w:rsid w:val="00C527D5"/>
    <w:rsid w:val="00C53716"/>
    <w:rsid w:val="00C53CD4"/>
    <w:rsid w:val="00CA34FF"/>
    <w:rsid w:val="00CA647F"/>
    <w:rsid w:val="00CB2D28"/>
    <w:rsid w:val="00CB591D"/>
    <w:rsid w:val="00CC1424"/>
    <w:rsid w:val="00CC5D91"/>
    <w:rsid w:val="00CE0A5C"/>
    <w:rsid w:val="00CF31D4"/>
    <w:rsid w:val="00D509E8"/>
    <w:rsid w:val="00D76D8E"/>
    <w:rsid w:val="00D92F41"/>
    <w:rsid w:val="00DA1D82"/>
    <w:rsid w:val="00DB44F6"/>
    <w:rsid w:val="00DE0504"/>
    <w:rsid w:val="00E06A32"/>
    <w:rsid w:val="00E10E58"/>
    <w:rsid w:val="00E454DA"/>
    <w:rsid w:val="00EB09BF"/>
    <w:rsid w:val="00EB323A"/>
    <w:rsid w:val="00EB6D53"/>
    <w:rsid w:val="00EE6111"/>
    <w:rsid w:val="00F209F4"/>
    <w:rsid w:val="00F22E2B"/>
    <w:rsid w:val="00F235FE"/>
    <w:rsid w:val="00F24CAC"/>
    <w:rsid w:val="00F3634A"/>
    <w:rsid w:val="00F36AEA"/>
    <w:rsid w:val="00F441A9"/>
    <w:rsid w:val="00F46F03"/>
    <w:rsid w:val="00F63D8B"/>
    <w:rsid w:val="00F7559D"/>
    <w:rsid w:val="00FA2195"/>
    <w:rsid w:val="00FA2BAF"/>
    <w:rsid w:val="00FB3595"/>
    <w:rsid w:val="00FC26BB"/>
    <w:rsid w:val="00FE5AF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13E92A-5512-4E3B-968A-66D608A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c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Cs w:val="20"/>
    </w:rPr>
  </w:style>
  <w:style w:type="paragraph" w:styleId="ad">
    <w:name w:val="header"/>
    <w:basedOn w:val="a"/>
    <w:rPr>
      <w:rFonts w:eastAsia="Calibri"/>
    </w:rPr>
  </w:style>
  <w:style w:type="paragraph" w:styleId="ae">
    <w:name w:val="footer"/>
    <w:basedOn w:val="a"/>
    <w:rPr>
      <w:rFonts w:eastAsia="Calibri"/>
    </w:rPr>
  </w:style>
  <w:style w:type="paragraph" w:customStyle="1" w:styleId="14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">
    <w:name w:val="annotation subject"/>
    <w:basedOn w:val="14"/>
    <w:next w:val="14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0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1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5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6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styleId="af5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A161-E295-4F29-8162-5B775399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Пригара Артем Володимирович</cp:lastModifiedBy>
  <cp:revision>11</cp:revision>
  <cp:lastPrinted>2022-04-26T06:38:00Z</cp:lastPrinted>
  <dcterms:created xsi:type="dcterms:W3CDTF">2025-03-25T10:58:00Z</dcterms:created>
  <dcterms:modified xsi:type="dcterms:W3CDTF">2025-04-15T06:39:00Z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